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9FBD" w14:textId="77777777" w:rsidR="008B121A" w:rsidRDefault="004E324D">
      <w:pPr>
        <w:tabs>
          <w:tab w:val="right" w:pos="9411"/>
        </w:tabs>
        <w:spacing w:after="489" w:line="259" w:lineRule="auto"/>
        <w:ind w:left="-27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AF54C8" wp14:editId="2554403E">
                <wp:extent cx="1600200" cy="536448"/>
                <wp:effectExtent l="0" t="0" r="0" b="0"/>
                <wp:docPr id="6935" name="Group 6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36448"/>
                          <a:chOff x="0" y="0"/>
                          <a:chExt cx="1600200" cy="5364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3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76784" y="162012"/>
                            <a:ext cx="41228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928DD" w14:textId="77777777" w:rsidR="008B121A" w:rsidRDefault="004E32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11784" y="162012"/>
                            <a:ext cx="41228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3027A" w14:textId="77777777" w:rsidR="008B121A" w:rsidRDefault="004E32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5" style="width:126pt;height:42.24pt;mso-position-horizontal-relative:char;mso-position-vertical-relative:line" coordsize="16002,5364">
                <v:shape id="Picture 7" style="position:absolute;width:16002;height:5364;left:0;top:0;" filled="f">
                  <v:imagedata r:id="rId6"/>
                </v:shape>
                <v:rect id="Rectangle 11" style="position:absolute;width:412;height:2226;left:1767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2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12" style="position:absolute;width:412;height:2226;left:8117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2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color w:val="707070"/>
          <w:sz w:val="20"/>
        </w:rPr>
        <w:tab/>
        <w:t xml:space="preserve"> </w:t>
      </w:r>
    </w:p>
    <w:p w14:paraId="62011017" w14:textId="77777777" w:rsidR="008B121A" w:rsidRDefault="004E324D">
      <w:pPr>
        <w:pStyle w:val="Heading1"/>
        <w:ind w:left="-5"/>
      </w:pPr>
      <w:r>
        <w:t>CMTCA Decision Making Framework</w:t>
      </w:r>
      <w:r>
        <w:rPr>
          <w:b w:val="0"/>
        </w:rPr>
        <w:t xml:space="preserve"> </w:t>
      </w:r>
    </w:p>
    <w:p w14:paraId="5DD33B10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0B8DC68F" w14:textId="77777777" w:rsidR="008B121A" w:rsidRDefault="004E324D">
      <w:pPr>
        <w:ind w:right="52"/>
      </w:pPr>
      <w:r>
        <w:t xml:space="preserve">The CMTCA decision-making framework provides the necessary parameters to determine accreditation decisions. It is used to determine both Preliminary Accreditation results and site visit results. </w:t>
      </w:r>
    </w:p>
    <w:p w14:paraId="59070515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7D5AEC1D" w14:textId="77777777" w:rsidR="008B121A" w:rsidRDefault="004E324D">
      <w:pPr>
        <w:ind w:right="52"/>
      </w:pPr>
      <w:r>
        <w:t xml:space="preserve">The </w:t>
      </w:r>
      <w:r>
        <w:t xml:space="preserve">framework combines quantitative and qualitative data to reflect the full breadth and scope of a massage therapy education program. The qualitative component is gathered through the site visit, as surveyors use the tracer methodology to assess the program. </w:t>
      </w:r>
      <w:r>
        <w:t xml:space="preserve">The quantitative component is the summation of the ratings provided by surveyors. </w:t>
      </w:r>
    </w:p>
    <w:p w14:paraId="24210D8C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231174D3" w14:textId="77777777" w:rsidR="008B121A" w:rsidRDefault="004E324D">
      <w:pPr>
        <w:ind w:right="52"/>
      </w:pPr>
      <w:r>
        <w:t xml:space="preserve">Site visit accreditation decisions are in effect for five years, three years, or one year.  </w:t>
      </w:r>
    </w:p>
    <w:p w14:paraId="6FBB88A2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0875A1B8" w14:textId="77777777" w:rsidR="008B121A" w:rsidRDefault="004E324D">
      <w:pPr>
        <w:ind w:right="52"/>
      </w:pPr>
      <w:r>
        <w:t>Preliminary Accreditation is in effect from the date of the notification l</w:t>
      </w:r>
      <w:r>
        <w:t xml:space="preserve">etter until the date the accreditation decision is issued following the site visit. This can be anywhere between six months and two years. </w:t>
      </w:r>
    </w:p>
    <w:p w14:paraId="23C9D4DB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10F79434" w14:textId="77777777" w:rsidR="008B121A" w:rsidRDefault="004E324D">
      <w:pPr>
        <w:ind w:right="52"/>
      </w:pPr>
      <w:r>
        <w:t xml:space="preserve">The decision-making framework specifies that accreditation decisions are determined based on two factors: </w:t>
      </w:r>
    </w:p>
    <w:p w14:paraId="04FD3CAD" w14:textId="77777777" w:rsidR="008B121A" w:rsidRDefault="004E324D">
      <w:pPr>
        <w:spacing w:after="0" w:line="259" w:lineRule="auto"/>
        <w:ind w:left="0" w:firstLine="0"/>
      </w:pPr>
      <w:r>
        <w:t xml:space="preserve">  </w:t>
      </w:r>
    </w:p>
    <w:p w14:paraId="020D6BA7" w14:textId="77777777" w:rsidR="008B121A" w:rsidRDefault="004E324D">
      <w:pPr>
        <w:numPr>
          <w:ilvl w:val="0"/>
          <w:numId w:val="1"/>
        </w:numPr>
        <w:ind w:right="91"/>
      </w:pPr>
      <w:r>
        <w:rPr>
          <w:b/>
        </w:rPr>
        <w:t>Sta</w:t>
      </w:r>
      <w:r>
        <w:rPr>
          <w:b/>
        </w:rPr>
        <w:t>ndard 1:</w:t>
      </w:r>
      <w:r>
        <w:t xml:space="preserve"> Given the importance of and the high impact of standard 1 on the quality of massage therapy education programs, the ratings for standard 1 are considered separately. </w:t>
      </w:r>
    </w:p>
    <w:p w14:paraId="57E79EFD" w14:textId="77777777" w:rsidR="008B121A" w:rsidRDefault="004E324D">
      <w:pPr>
        <w:spacing w:after="0" w:line="259" w:lineRule="auto"/>
        <w:ind w:left="600" w:firstLine="0"/>
      </w:pPr>
      <w:r>
        <w:t xml:space="preserve">  </w:t>
      </w:r>
    </w:p>
    <w:p w14:paraId="6BCB2807" w14:textId="77777777" w:rsidR="008B121A" w:rsidRDefault="004E324D">
      <w:pPr>
        <w:numPr>
          <w:ilvl w:val="0"/>
          <w:numId w:val="1"/>
        </w:numPr>
        <w:ind w:right="91"/>
      </w:pPr>
      <w:r>
        <w:rPr>
          <w:b/>
        </w:rPr>
        <w:t>Percentage of points achieved:</w:t>
      </w:r>
      <w:r>
        <w:t xml:space="preserve"> Each rating (met, partially met, and </w:t>
      </w:r>
      <w:r>
        <w:t xml:space="preserve">unmet) is assigned a point value and the percentage of total possible points is calculated. The thresholds are as follows: </w:t>
      </w:r>
    </w:p>
    <w:p w14:paraId="6BCB7666" w14:textId="77777777" w:rsidR="008B121A" w:rsidRDefault="004E324D">
      <w:pPr>
        <w:spacing w:after="32" w:line="259" w:lineRule="auto"/>
        <w:ind w:left="600" w:firstLine="0"/>
      </w:pPr>
      <w:r>
        <w:t xml:space="preserve">  </w:t>
      </w:r>
    </w:p>
    <w:p w14:paraId="778A0995" w14:textId="77777777" w:rsidR="008B121A" w:rsidRDefault="004E324D">
      <w:pPr>
        <w:numPr>
          <w:ilvl w:val="2"/>
          <w:numId w:val="2"/>
        </w:numPr>
        <w:ind w:right="52" w:hanging="360"/>
      </w:pPr>
      <w:r>
        <w:t xml:space="preserve">For a </w:t>
      </w:r>
      <w:r>
        <w:rPr>
          <w:b/>
        </w:rPr>
        <w:t>five-year accreditation</w:t>
      </w:r>
      <w:r>
        <w:t xml:space="preserve">, all criteria in standard 1 must be met </w:t>
      </w:r>
      <w:r>
        <w:rPr>
          <w:b/>
        </w:rPr>
        <w:t>AND</w:t>
      </w:r>
      <w:r>
        <w:t xml:space="preserve"> 95% or higher of the total possible points must be obta</w:t>
      </w:r>
      <w:r>
        <w:t xml:space="preserve">ined. </w:t>
      </w:r>
    </w:p>
    <w:p w14:paraId="059E93F1" w14:textId="77777777" w:rsidR="008B121A" w:rsidRDefault="004E324D">
      <w:pPr>
        <w:spacing w:after="36" w:line="259" w:lineRule="auto"/>
        <w:ind w:left="600" w:firstLine="0"/>
      </w:pPr>
      <w:r>
        <w:t xml:space="preserve">  </w:t>
      </w:r>
    </w:p>
    <w:p w14:paraId="2F9E2CF0" w14:textId="77777777" w:rsidR="008B121A" w:rsidRDefault="004E324D">
      <w:pPr>
        <w:numPr>
          <w:ilvl w:val="2"/>
          <w:numId w:val="2"/>
        </w:numPr>
        <w:ind w:right="52" w:hanging="360"/>
      </w:pPr>
      <w:r>
        <w:t xml:space="preserve">For a </w:t>
      </w:r>
      <w:r>
        <w:rPr>
          <w:b/>
        </w:rPr>
        <w:t>three-year accreditation</w:t>
      </w:r>
      <w:r>
        <w:t xml:space="preserve">, all criteria in standard 1 must be met </w:t>
      </w:r>
      <w:r>
        <w:rPr>
          <w:b/>
        </w:rPr>
        <w:t>AND</w:t>
      </w:r>
      <w:r>
        <w:t xml:space="preserve"> between 85% and 94% of the total possible points must be obtained. </w:t>
      </w:r>
    </w:p>
    <w:p w14:paraId="622EC95A" w14:textId="77777777" w:rsidR="008B121A" w:rsidRDefault="004E324D">
      <w:pPr>
        <w:spacing w:after="32" w:line="259" w:lineRule="auto"/>
        <w:ind w:left="600" w:firstLine="0"/>
      </w:pPr>
      <w:r>
        <w:t xml:space="preserve">  </w:t>
      </w:r>
    </w:p>
    <w:p w14:paraId="37EF7D8D" w14:textId="77777777" w:rsidR="008B121A" w:rsidRDefault="004E324D">
      <w:pPr>
        <w:numPr>
          <w:ilvl w:val="2"/>
          <w:numId w:val="2"/>
        </w:numPr>
        <w:ind w:right="52" w:hanging="360"/>
      </w:pPr>
      <w:r>
        <w:t xml:space="preserve">For a </w:t>
      </w:r>
      <w:r>
        <w:rPr>
          <w:b/>
        </w:rPr>
        <w:t>one-year accreditation</w:t>
      </w:r>
      <w:r>
        <w:t xml:space="preserve">, all criteria in standard 1 must be met or partially met, </w:t>
      </w:r>
      <w:r>
        <w:rPr>
          <w:b/>
        </w:rPr>
        <w:t>AND</w:t>
      </w:r>
      <w:r>
        <w:t xml:space="preserve"> between 7</w:t>
      </w:r>
      <w:r>
        <w:t xml:space="preserve">5% and 84% of the total possible points must be obtained.  </w:t>
      </w:r>
    </w:p>
    <w:p w14:paraId="79B06DB9" w14:textId="77777777" w:rsidR="008B121A" w:rsidRDefault="004E324D">
      <w:pPr>
        <w:spacing w:after="0" w:line="259" w:lineRule="auto"/>
        <w:ind w:left="600" w:firstLine="0"/>
      </w:pPr>
      <w:r>
        <w:t xml:space="preserve">  </w:t>
      </w:r>
    </w:p>
    <w:p w14:paraId="006E5ACE" w14:textId="77777777" w:rsidR="008B121A" w:rsidRDefault="004E324D">
      <w:pPr>
        <w:ind w:left="595" w:right="52"/>
      </w:pPr>
      <w:r>
        <w:t xml:space="preserve">Note: To be eligible for one, three, or </w:t>
      </w:r>
      <w:proofErr w:type="gramStart"/>
      <w:r>
        <w:t>five year</w:t>
      </w:r>
      <w:proofErr w:type="gramEnd"/>
      <w:r>
        <w:t xml:space="preserve"> accreditation, there cannot be any unmet criteria in standard 1. </w:t>
      </w:r>
    </w:p>
    <w:p w14:paraId="249E4969" w14:textId="77777777" w:rsidR="008B121A" w:rsidRDefault="004E324D">
      <w:pPr>
        <w:spacing w:after="166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</w:p>
    <w:p w14:paraId="6772F9F0" w14:textId="77777777" w:rsidR="008B121A" w:rsidRDefault="004E324D">
      <w:pPr>
        <w:spacing w:after="16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40EB6BC1" w14:textId="77777777" w:rsidR="008B121A" w:rsidRDefault="004E324D">
      <w:pPr>
        <w:spacing w:after="166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22919B24" w14:textId="77777777" w:rsidR="008B121A" w:rsidRDefault="004E324D">
      <w:pPr>
        <w:spacing w:after="166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46F96741" w14:textId="77777777" w:rsidR="008B121A" w:rsidRDefault="004E324D">
      <w:pPr>
        <w:spacing w:after="16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68FB04C6" w14:textId="77777777" w:rsidR="008B121A" w:rsidRDefault="004E324D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00F309CF" w14:textId="77777777" w:rsidR="008B121A" w:rsidRDefault="004E324D">
      <w:pPr>
        <w:spacing w:after="63" w:line="259" w:lineRule="auto"/>
        <w:ind w:left="-278" w:right="-246" w:firstLine="0"/>
      </w:pPr>
      <w:r>
        <w:rPr>
          <w:noProof/>
        </w:rPr>
        <w:drawing>
          <wp:inline distT="0" distB="0" distL="0" distR="0" wp14:anchorId="2C315E38" wp14:editId="7CF8600F">
            <wp:extent cx="6309360" cy="33832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C626" w14:textId="1EB08600" w:rsidR="008B121A" w:rsidRDefault="004E324D" w:rsidP="004E324D">
      <w:pPr>
        <w:spacing w:after="245" w:line="259" w:lineRule="auto"/>
        <w:ind w:right="52"/>
        <w:jc w:val="center"/>
      </w:pPr>
      <w:r>
        <w:rPr>
          <w:rFonts w:ascii="Calibri" w:eastAsia="Calibri" w:hAnsi="Calibri" w:cs="Calibri"/>
          <w:color w:val="707070"/>
          <w:sz w:val="18"/>
        </w:rPr>
        <w:t xml:space="preserve">401-240 Bank Street, Ottawa, K2P 1X4 </w:t>
      </w:r>
      <w:bookmarkStart w:id="0" w:name="_GoBack"/>
      <w:bookmarkEnd w:id="0"/>
      <w:r>
        <w:rPr>
          <w:rFonts w:ascii="Calibri" w:eastAsia="Calibri" w:hAnsi="Calibri" w:cs="Calibri"/>
          <w:color w:val="707070"/>
          <w:sz w:val="18"/>
        </w:rPr>
        <w:t>• 416-466-3427 • info@cmtca.ca</w:t>
      </w:r>
      <w:r>
        <w:rPr>
          <w:rFonts w:ascii="Calibri" w:eastAsia="Calibri" w:hAnsi="Calibri" w:cs="Calibri"/>
          <w:color w:val="707070"/>
          <w:sz w:val="18"/>
        </w:rPr>
        <w:t xml:space="preserve"> </w:t>
      </w:r>
    </w:p>
    <w:sectPr w:rsidR="008B121A">
      <w:pgSz w:w="12240" w:h="15840"/>
      <w:pgMar w:top="706" w:right="1389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4579"/>
    <w:multiLevelType w:val="hybridMultilevel"/>
    <w:tmpl w:val="E4C6014C"/>
    <w:lvl w:ilvl="0" w:tplc="080026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6AB68">
      <w:start w:val="1"/>
      <w:numFmt w:val="bullet"/>
      <w:lvlText w:val="o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64572">
      <w:start w:val="1"/>
      <w:numFmt w:val="bullet"/>
      <w:lvlRestart w:val="0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62CC0">
      <w:start w:val="1"/>
      <w:numFmt w:val="bullet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CCF5A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04F862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2C770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AC35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A8ACC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D3747"/>
    <w:multiLevelType w:val="hybridMultilevel"/>
    <w:tmpl w:val="963624C6"/>
    <w:lvl w:ilvl="0" w:tplc="177EB530">
      <w:start w:val="1"/>
      <w:numFmt w:val="upperLetter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7A5D94">
      <w:start w:val="1"/>
      <w:numFmt w:val="lowerLetter"/>
      <w:lvlText w:val="%2"/>
      <w:lvlJc w:val="left"/>
      <w:pPr>
        <w:ind w:left="168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00974">
      <w:start w:val="1"/>
      <w:numFmt w:val="lowerRoman"/>
      <w:lvlText w:val="%3"/>
      <w:lvlJc w:val="left"/>
      <w:pPr>
        <w:ind w:left="240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1C9A88">
      <w:start w:val="1"/>
      <w:numFmt w:val="decimal"/>
      <w:lvlText w:val="%4"/>
      <w:lvlJc w:val="left"/>
      <w:pPr>
        <w:ind w:left="312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764576">
      <w:start w:val="1"/>
      <w:numFmt w:val="lowerLetter"/>
      <w:lvlText w:val="%5"/>
      <w:lvlJc w:val="left"/>
      <w:pPr>
        <w:ind w:left="384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6427E4">
      <w:start w:val="1"/>
      <w:numFmt w:val="lowerRoman"/>
      <w:lvlText w:val="%6"/>
      <w:lvlJc w:val="left"/>
      <w:pPr>
        <w:ind w:left="456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C0961C">
      <w:start w:val="1"/>
      <w:numFmt w:val="decimal"/>
      <w:lvlText w:val="%7"/>
      <w:lvlJc w:val="left"/>
      <w:pPr>
        <w:ind w:left="528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8EC0D6">
      <w:start w:val="1"/>
      <w:numFmt w:val="lowerLetter"/>
      <w:lvlText w:val="%8"/>
      <w:lvlJc w:val="left"/>
      <w:pPr>
        <w:ind w:left="600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32B1CE">
      <w:start w:val="1"/>
      <w:numFmt w:val="lowerRoman"/>
      <w:lvlText w:val="%9"/>
      <w:lvlJc w:val="left"/>
      <w:pPr>
        <w:ind w:left="672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95EAE"/>
    <w:multiLevelType w:val="hybridMultilevel"/>
    <w:tmpl w:val="E2C89490"/>
    <w:lvl w:ilvl="0" w:tplc="D44271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C26F4">
      <w:start w:val="1"/>
      <w:numFmt w:val="bullet"/>
      <w:lvlText w:val="o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46F36">
      <w:start w:val="1"/>
      <w:numFmt w:val="bullet"/>
      <w:lvlRestart w:val="0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A8566">
      <w:start w:val="1"/>
      <w:numFmt w:val="bullet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0E74E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68CF4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5A24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AA956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208B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303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90C65"/>
    <w:multiLevelType w:val="hybridMultilevel"/>
    <w:tmpl w:val="68B8C170"/>
    <w:lvl w:ilvl="0" w:tplc="95C07C14">
      <w:start w:val="1"/>
      <w:numFmt w:val="upperLetter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AA199E">
      <w:start w:val="1"/>
      <w:numFmt w:val="lowerLetter"/>
      <w:lvlText w:val="%2"/>
      <w:lvlJc w:val="left"/>
      <w:pPr>
        <w:ind w:left="168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B0DEF8">
      <w:start w:val="1"/>
      <w:numFmt w:val="lowerRoman"/>
      <w:lvlText w:val="%3"/>
      <w:lvlJc w:val="left"/>
      <w:pPr>
        <w:ind w:left="240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4049E">
      <w:start w:val="1"/>
      <w:numFmt w:val="decimal"/>
      <w:lvlText w:val="%4"/>
      <w:lvlJc w:val="left"/>
      <w:pPr>
        <w:ind w:left="312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BEB3B4">
      <w:start w:val="1"/>
      <w:numFmt w:val="lowerLetter"/>
      <w:lvlText w:val="%5"/>
      <w:lvlJc w:val="left"/>
      <w:pPr>
        <w:ind w:left="384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48EE7C">
      <w:start w:val="1"/>
      <w:numFmt w:val="lowerRoman"/>
      <w:lvlText w:val="%6"/>
      <w:lvlJc w:val="left"/>
      <w:pPr>
        <w:ind w:left="456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1C98B4">
      <w:start w:val="1"/>
      <w:numFmt w:val="decimal"/>
      <w:lvlText w:val="%7"/>
      <w:lvlJc w:val="left"/>
      <w:pPr>
        <w:ind w:left="528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6685C4">
      <w:start w:val="1"/>
      <w:numFmt w:val="lowerLetter"/>
      <w:lvlText w:val="%8"/>
      <w:lvlJc w:val="left"/>
      <w:pPr>
        <w:ind w:left="600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EB41C">
      <w:start w:val="1"/>
      <w:numFmt w:val="lowerRoman"/>
      <w:lvlText w:val="%9"/>
      <w:lvlJc w:val="left"/>
      <w:pPr>
        <w:ind w:left="6720"/>
      </w:pPr>
      <w:rPr>
        <w:rFonts w:ascii="Arial" w:eastAsia="Arial" w:hAnsi="Arial" w:cs="Arial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1A"/>
    <w:rsid w:val="004E324D"/>
    <w:rsid w:val="008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FECFC"/>
  <w15:docId w15:val="{ECF2B8E8-9DEC-40FB-AEDC-2E86EBD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30303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30303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3030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CMTCA Decision Making Framework.docx</dc:title>
  <dc:subject/>
  <dc:creator>Christian V</dc:creator>
  <cp:keywords/>
  <cp:lastModifiedBy>Christian V</cp:lastModifiedBy>
  <cp:revision>2</cp:revision>
  <dcterms:created xsi:type="dcterms:W3CDTF">2020-01-22T16:12:00Z</dcterms:created>
  <dcterms:modified xsi:type="dcterms:W3CDTF">2020-01-22T16:12:00Z</dcterms:modified>
</cp:coreProperties>
</file>